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3D3" w:rsidRPr="00414DD2" w:rsidRDefault="00C52C3A" w:rsidP="009C7625">
      <w:pPr>
        <w:adjustRightInd w:val="0"/>
        <w:snapToGrid w:val="0"/>
        <w:spacing w:after="0" w:line="240" w:lineRule="auto"/>
        <w:jc w:val="center"/>
        <w:rPr>
          <w:rFonts w:ascii="Times New Roman" w:eastAsia="新細明體" w:hAnsi="Times New Roman" w:cs="Times New Roman"/>
          <w:b/>
          <w:sz w:val="28"/>
          <w:szCs w:val="28"/>
          <w:lang w:eastAsia="zh-TW"/>
        </w:rPr>
      </w:pPr>
      <w:bookmarkStart w:id="0" w:name="_GoBack"/>
      <w:bookmarkEnd w:id="0"/>
      <w:r w:rsidRPr="00414DD2">
        <w:rPr>
          <w:rFonts w:ascii="Times New Roman" w:eastAsia="新細明體" w:hAnsi="Times New Roman" w:cs="Times New Roman"/>
          <w:b/>
          <w:sz w:val="28"/>
          <w:szCs w:val="28"/>
          <w:lang w:eastAsia="zh-TW"/>
        </w:rPr>
        <w:t>書籍勘誤與補充說明</w:t>
      </w:r>
    </w:p>
    <w:p w:rsidR="00DF14C4" w:rsidRPr="00414DD2" w:rsidRDefault="00DF14C4" w:rsidP="009C7625">
      <w:pPr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sz w:val="24"/>
          <w:szCs w:val="24"/>
          <w:lang w:eastAsia="zh-TW"/>
        </w:rPr>
      </w:pPr>
    </w:p>
    <w:p w:rsidR="00EE03D3" w:rsidRPr="00414DD2" w:rsidRDefault="00C52C3A" w:rsidP="009C7625">
      <w:pPr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書名：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Python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量化研究實作：</w:t>
      </w:r>
      <w:proofErr w:type="spellStart"/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Deepnote</w:t>
      </w:r>
      <w:proofErr w:type="spellEnd"/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雲端平台應用</w:t>
      </w:r>
    </w:p>
    <w:p w:rsidR="00EE03D3" w:rsidRPr="00414DD2" w:rsidRDefault="00637717" w:rsidP="009C7625">
      <w:pPr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更正日期：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2025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年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5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月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5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日</w:t>
      </w:r>
    </w:p>
    <w:p w:rsidR="009C7625" w:rsidRPr="00414DD2" w:rsidRDefault="009C7625" w:rsidP="009C7625">
      <w:pPr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sz w:val="24"/>
          <w:szCs w:val="24"/>
          <w:lang w:eastAsia="zh-TW"/>
        </w:rPr>
      </w:pPr>
    </w:p>
    <w:p w:rsidR="009C7625" w:rsidRPr="00414DD2" w:rsidRDefault="009C7625" w:rsidP="00E869B2">
      <w:pPr>
        <w:adjustRightInd w:val="0"/>
        <w:snapToGrid w:val="0"/>
        <w:spacing w:after="0" w:line="240" w:lineRule="auto"/>
        <w:jc w:val="both"/>
        <w:rPr>
          <w:rFonts w:ascii="Times New Roman" w:eastAsia="新細明體" w:hAnsi="Times New Roman" w:cs="Times New Roman"/>
          <w:b/>
          <w:color w:val="0000FF"/>
          <w:sz w:val="24"/>
          <w:szCs w:val="24"/>
          <w:lang w:eastAsia="zh-TW"/>
        </w:rPr>
      </w:pPr>
      <w:r w:rsidRPr="00414DD2">
        <w:rPr>
          <w:rFonts w:ascii="Times New Roman" w:eastAsia="新細明體" w:hAnsi="Times New Roman" w:cs="Times New Roman"/>
          <w:b/>
          <w:color w:val="0000FF"/>
          <w:sz w:val="24"/>
          <w:szCs w:val="24"/>
          <w:lang w:eastAsia="zh-TW"/>
        </w:rPr>
        <w:t>[</w:t>
      </w:r>
      <w:r w:rsidRPr="00414DD2">
        <w:rPr>
          <w:rFonts w:ascii="Times New Roman" w:eastAsia="新細明體" w:hAnsi="Times New Roman" w:cs="Times New Roman"/>
          <w:b/>
          <w:color w:val="0000FF"/>
          <w:sz w:val="24"/>
          <w:szCs w:val="24"/>
          <w:lang w:eastAsia="zh-TW"/>
        </w:rPr>
        <w:t>第</w:t>
      </w:r>
      <w:r w:rsidR="00E869B2" w:rsidRPr="00414DD2">
        <w:rPr>
          <w:rFonts w:ascii="Times New Roman" w:eastAsia="新細明體" w:hAnsi="Times New Roman" w:cs="Times New Roman"/>
          <w:b/>
          <w:color w:val="0000FF"/>
          <w:sz w:val="24"/>
          <w:szCs w:val="24"/>
          <w:lang w:eastAsia="zh-TW"/>
        </w:rPr>
        <w:t>172</w:t>
      </w:r>
      <w:r w:rsidRPr="00414DD2">
        <w:rPr>
          <w:rFonts w:ascii="Times New Roman" w:eastAsia="新細明體" w:hAnsi="Times New Roman" w:cs="Times New Roman"/>
          <w:b/>
          <w:color w:val="0000FF"/>
          <w:sz w:val="24"/>
          <w:szCs w:val="24"/>
          <w:lang w:eastAsia="zh-TW"/>
        </w:rPr>
        <w:t>頁</w:t>
      </w:r>
      <w:r w:rsidRPr="00414DD2">
        <w:rPr>
          <w:rFonts w:ascii="Times New Roman" w:eastAsia="新細明體" w:hAnsi="Times New Roman" w:cs="Times New Roman"/>
          <w:b/>
          <w:color w:val="0000FF"/>
          <w:sz w:val="24"/>
          <w:szCs w:val="24"/>
          <w:lang w:eastAsia="zh-TW"/>
        </w:rPr>
        <w:t>]</w:t>
      </w:r>
      <w:r w:rsidR="00E869B2" w:rsidRPr="00414DD2">
        <w:rPr>
          <w:rFonts w:ascii="Times New Roman" w:eastAsia="新細明體" w:hAnsi="Times New Roman" w:cs="Times New Roman"/>
          <w:b/>
          <w:color w:val="FF0000"/>
          <w:sz w:val="24"/>
          <w:szCs w:val="24"/>
          <w:lang w:eastAsia="zh-TW"/>
        </w:rPr>
        <w:t>（</w:t>
      </w:r>
      <w:r w:rsidR="00414DD2" w:rsidRPr="00414DD2">
        <w:rPr>
          <w:rFonts w:ascii="Times New Roman" w:eastAsia="新細明體" w:hAnsi="Times New Roman" w:cs="Times New Roman"/>
          <w:b/>
          <w:color w:val="FF0000"/>
          <w:sz w:val="24"/>
          <w:szCs w:val="24"/>
          <w:lang w:eastAsia="zh-TW"/>
        </w:rPr>
        <w:t>紅色字體為勘誤內容</w:t>
      </w:r>
      <w:r w:rsidR="00E869B2" w:rsidRPr="00414DD2">
        <w:rPr>
          <w:rFonts w:ascii="Times New Roman" w:eastAsia="新細明體" w:hAnsi="Times New Roman" w:cs="Times New Roman"/>
          <w:b/>
          <w:color w:val="FF0000"/>
          <w:sz w:val="24"/>
          <w:szCs w:val="24"/>
          <w:lang w:eastAsia="zh-TW"/>
        </w:rPr>
        <w:t>）</w:t>
      </w:r>
    </w:p>
    <w:p w:rsidR="009C7625" w:rsidRPr="00414DD2" w:rsidRDefault="00E869B2" w:rsidP="00E869B2">
      <w:pPr>
        <w:adjustRightInd w:val="0"/>
        <w:snapToGrid w:val="0"/>
        <w:spacing w:after="0" w:line="240" w:lineRule="auto"/>
        <w:ind w:firstLineChars="200" w:firstLine="480"/>
        <w:jc w:val="both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而輸出長格式數據集可以看到將原本寬格式數據集的資料，轉換為長格式數據集的內容。其中，採用行標籤名稱變數「</w:t>
      </w:r>
      <w:r w:rsidRPr="00414DD2">
        <w:rPr>
          <w:rFonts w:ascii="Times New Roman" w:eastAsia="新細明體" w:hAnsi="Times New Roman" w:cs="Times New Roman"/>
          <w:sz w:val="24"/>
          <w:szCs w:val="24"/>
          <w:shd w:val="pct15" w:color="auto" w:fill="FFFFFF"/>
          <w:lang w:eastAsia="zh-TW"/>
        </w:rPr>
        <w:t>No</w:t>
      </w:r>
      <w:r w:rsidRPr="00414DD2">
        <w:rPr>
          <w:rFonts w:ascii="Times New Roman" w:eastAsia="新細明體" w:hAnsi="Times New Roman" w:cs="Times New Roman"/>
          <w:sz w:val="24"/>
          <w:szCs w:val="24"/>
          <w:shd w:val="pct15" w:color="auto" w:fill="FFFFFF"/>
          <w:lang w:eastAsia="zh-TW"/>
        </w:rPr>
        <w:t>、</w:t>
      </w:r>
      <w:r w:rsidRPr="00414DD2">
        <w:rPr>
          <w:rFonts w:ascii="Times New Roman" w:eastAsia="新細明體" w:hAnsi="Times New Roman" w:cs="Times New Roman"/>
          <w:sz w:val="24"/>
          <w:szCs w:val="24"/>
          <w:shd w:val="pct15" w:color="auto" w:fill="FFFFFF"/>
          <w:lang w:eastAsia="zh-TW"/>
        </w:rPr>
        <w:t>gender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」設定為是未轉置的行標籤「</w:t>
      </w:r>
      <w:proofErr w:type="spellStart"/>
      <w:r w:rsidRPr="00414DD2">
        <w:rPr>
          <w:rFonts w:ascii="Times New Roman" w:eastAsia="新細明體" w:hAnsi="Times New Roman" w:cs="Times New Roman"/>
          <w:sz w:val="24"/>
          <w:szCs w:val="24"/>
          <w:shd w:val="pct15" w:color="auto" w:fill="FFFFFF"/>
          <w:lang w:eastAsia="zh-TW"/>
        </w:rPr>
        <w:t>id_vars</w:t>
      </w:r>
      <w:proofErr w:type="spellEnd"/>
      <w:r w:rsidRPr="00414DD2">
        <w:rPr>
          <w:rFonts w:ascii="Times New Roman" w:eastAsia="新細明體" w:hAnsi="Times New Roman" w:cs="Times New Roman"/>
          <w:sz w:val="24"/>
          <w:szCs w:val="24"/>
          <w:shd w:val="pct15" w:color="auto" w:fill="FFFFFF"/>
          <w:lang w:eastAsia="zh-TW"/>
        </w:rPr>
        <w:t xml:space="preserve"> = ['No', 'gender'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]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」，但是將原本寬格式變數「</w:t>
      </w:r>
      <w:r w:rsidRPr="00414DD2">
        <w:rPr>
          <w:rFonts w:ascii="Times New Roman" w:eastAsia="新細明體" w:hAnsi="Times New Roman" w:cs="Times New Roman"/>
          <w:color w:val="FF0000"/>
          <w:sz w:val="24"/>
          <w:szCs w:val="24"/>
          <w:shd w:val="pct15" w:color="auto" w:fill="FFFFFF"/>
          <w:lang w:eastAsia="zh-TW"/>
        </w:rPr>
        <w:t>b1time</w:t>
      </w:r>
      <w:r w:rsidRPr="00414DD2">
        <w:rPr>
          <w:rFonts w:ascii="Times New Roman" w:eastAsia="新細明體" w:hAnsi="Times New Roman" w:cs="Times New Roman"/>
          <w:color w:val="FF0000"/>
          <w:sz w:val="24"/>
          <w:szCs w:val="24"/>
          <w:shd w:val="pct15" w:color="auto" w:fill="FFFFFF"/>
          <w:lang w:eastAsia="zh-TW"/>
        </w:rPr>
        <w:t>、</w:t>
      </w:r>
      <w:r w:rsidRPr="00414DD2">
        <w:rPr>
          <w:rFonts w:ascii="Times New Roman" w:eastAsia="新細明體" w:hAnsi="Times New Roman" w:cs="Times New Roman"/>
          <w:color w:val="FF0000"/>
          <w:sz w:val="24"/>
          <w:szCs w:val="24"/>
          <w:shd w:val="pct15" w:color="auto" w:fill="FFFFFF"/>
          <w:lang w:eastAsia="zh-TW"/>
        </w:rPr>
        <w:t>b2time</w:t>
      </w:r>
      <w:r w:rsidRPr="00414DD2">
        <w:rPr>
          <w:rFonts w:ascii="Times New Roman" w:eastAsia="新細明體" w:hAnsi="Times New Roman" w:cs="Times New Roman"/>
          <w:color w:val="FF0000"/>
          <w:sz w:val="24"/>
          <w:szCs w:val="24"/>
          <w:shd w:val="pct15" w:color="auto" w:fill="FFFFFF"/>
          <w:lang w:eastAsia="zh-TW"/>
        </w:rPr>
        <w:t>、</w:t>
      </w:r>
      <w:r w:rsidRPr="00414DD2">
        <w:rPr>
          <w:rFonts w:ascii="Times New Roman" w:eastAsia="新細明體" w:hAnsi="Times New Roman" w:cs="Times New Roman"/>
          <w:color w:val="FF0000"/>
          <w:sz w:val="24"/>
          <w:szCs w:val="24"/>
          <w:shd w:val="pct15" w:color="auto" w:fill="FFFFFF"/>
          <w:lang w:eastAsia="zh-TW"/>
        </w:rPr>
        <w:t>b3time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」置入「長格式數據」的新行標籤數值設置為「</w:t>
      </w:r>
      <w:proofErr w:type="spellStart"/>
      <w:r w:rsidRPr="00414DD2">
        <w:rPr>
          <w:rFonts w:ascii="Times New Roman" w:eastAsia="新細明體" w:hAnsi="Times New Roman" w:cs="Times New Roman"/>
          <w:sz w:val="24"/>
          <w:szCs w:val="24"/>
          <w:shd w:val="pct15" w:color="auto" w:fill="FFFFFF"/>
          <w:lang w:eastAsia="zh-TW"/>
        </w:rPr>
        <w:t>value_vars</w:t>
      </w:r>
      <w:proofErr w:type="spellEnd"/>
      <w:r w:rsidRPr="00414DD2">
        <w:rPr>
          <w:rFonts w:ascii="Times New Roman" w:eastAsia="新細明體" w:hAnsi="Times New Roman" w:cs="Times New Roman"/>
          <w:sz w:val="24"/>
          <w:szCs w:val="24"/>
          <w:shd w:val="pct15" w:color="auto" w:fill="FFFFFF"/>
          <w:lang w:eastAsia="zh-TW"/>
        </w:rPr>
        <w:t xml:space="preserve"> = ['b1time', 'b2time', 'b3time']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」中。</w:t>
      </w:r>
    </w:p>
    <w:p w:rsidR="009C7625" w:rsidRPr="00414DD2" w:rsidRDefault="009C7625" w:rsidP="00E869B2">
      <w:pPr>
        <w:adjustRightInd w:val="0"/>
        <w:snapToGrid w:val="0"/>
        <w:spacing w:after="0" w:line="240" w:lineRule="auto"/>
        <w:jc w:val="both"/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</w:pPr>
    </w:p>
    <w:p w:rsidR="009C7625" w:rsidRPr="00414DD2" w:rsidRDefault="009C7625" w:rsidP="00E869B2">
      <w:pPr>
        <w:adjustRightInd w:val="0"/>
        <w:snapToGrid w:val="0"/>
        <w:spacing w:after="0" w:line="240" w:lineRule="auto"/>
        <w:jc w:val="both"/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</w:pPr>
      <w:r w:rsidRPr="00414DD2">
        <w:rPr>
          <w:rFonts w:ascii="Times New Roman" w:eastAsia="新細明體" w:hAnsi="Times New Roman" w:cs="Times New Roman"/>
          <w:b/>
          <w:color w:val="0000FF"/>
          <w:sz w:val="24"/>
          <w:szCs w:val="24"/>
          <w:lang w:eastAsia="zh-TW"/>
        </w:rPr>
        <w:t>[</w:t>
      </w:r>
      <w:r w:rsidRPr="00414DD2">
        <w:rPr>
          <w:rFonts w:ascii="Times New Roman" w:eastAsia="新細明體" w:hAnsi="Times New Roman" w:cs="Times New Roman"/>
          <w:b/>
          <w:color w:val="0000FF"/>
          <w:sz w:val="24"/>
          <w:szCs w:val="24"/>
          <w:lang w:eastAsia="zh-TW"/>
        </w:rPr>
        <w:t>第</w:t>
      </w:r>
      <w:r w:rsidR="00E869B2" w:rsidRPr="00414DD2">
        <w:rPr>
          <w:rFonts w:ascii="Times New Roman" w:eastAsia="新細明體" w:hAnsi="Times New Roman" w:cs="Times New Roman"/>
          <w:b/>
          <w:color w:val="0000FF"/>
          <w:sz w:val="24"/>
          <w:szCs w:val="24"/>
          <w:lang w:eastAsia="zh-TW"/>
        </w:rPr>
        <w:t>206-207</w:t>
      </w:r>
      <w:r w:rsidRPr="00414DD2">
        <w:rPr>
          <w:rFonts w:ascii="Times New Roman" w:eastAsia="新細明體" w:hAnsi="Times New Roman" w:cs="Times New Roman"/>
          <w:b/>
          <w:color w:val="0000FF"/>
          <w:sz w:val="24"/>
          <w:szCs w:val="24"/>
          <w:lang w:eastAsia="zh-TW"/>
        </w:rPr>
        <w:t>頁</w:t>
      </w:r>
      <w:r w:rsidRPr="00414DD2">
        <w:rPr>
          <w:rFonts w:ascii="Times New Roman" w:eastAsia="新細明體" w:hAnsi="Times New Roman" w:cs="Times New Roman"/>
          <w:b/>
          <w:color w:val="0000FF"/>
          <w:sz w:val="24"/>
          <w:szCs w:val="24"/>
          <w:lang w:eastAsia="zh-TW"/>
        </w:rPr>
        <w:t>]</w:t>
      </w:r>
      <w:r w:rsidR="00414DD2" w:rsidRPr="00414DD2">
        <w:rPr>
          <w:rFonts w:ascii="Times New Roman" w:eastAsia="新細明體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="00414DD2" w:rsidRPr="00414DD2">
        <w:rPr>
          <w:rFonts w:ascii="Times New Roman" w:eastAsia="新細明體" w:hAnsi="Times New Roman" w:cs="Times New Roman"/>
          <w:b/>
          <w:color w:val="FF0000"/>
          <w:sz w:val="24"/>
          <w:szCs w:val="24"/>
          <w:lang w:eastAsia="zh-TW"/>
        </w:rPr>
        <w:t>（紅色字體為勘誤內容）</w:t>
      </w:r>
    </w:p>
    <w:p w:rsidR="005540FD" w:rsidRPr="00414DD2" w:rsidRDefault="005540FD" w:rsidP="00E869B2">
      <w:pPr>
        <w:adjustRightInd w:val="0"/>
        <w:snapToGrid w:val="0"/>
        <w:spacing w:after="0" w:line="240" w:lineRule="auto"/>
        <w:jc w:val="both"/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</w:pPr>
      <w:r w:rsidRPr="00414DD2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 xml:space="preserve">1. </w:t>
      </w:r>
      <w:r w:rsidRPr="00414DD2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自變數（</w:t>
      </w:r>
      <w:r w:rsidRPr="00414DD2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IV</w:t>
      </w:r>
      <w:r w:rsidRPr="00414DD2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）「</w:t>
      </w:r>
      <w:r w:rsidRPr="00414DD2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X</w:t>
      </w:r>
      <w:r w:rsidRPr="00414DD2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」對依變數（</w:t>
      </w:r>
      <w:r w:rsidRPr="00414DD2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DV</w:t>
      </w:r>
      <w:r w:rsidRPr="00414DD2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）「</w:t>
      </w:r>
      <w:r w:rsidRPr="00414DD2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Y</w:t>
      </w:r>
      <w:r w:rsidRPr="00414DD2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」有顯著關係</w:t>
      </w:r>
    </w:p>
    <w:p w:rsidR="005540FD" w:rsidRPr="00414DD2" w:rsidRDefault="005540FD" w:rsidP="00E869B2">
      <w:pPr>
        <w:adjustRightInd w:val="0"/>
        <w:snapToGrid w:val="0"/>
        <w:spacing w:after="0" w:line="240" w:lineRule="auto"/>
        <w:ind w:firstLineChars="200" w:firstLine="480"/>
        <w:jc w:val="both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首先，執行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X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變數對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Y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變數的</w:t>
      </w:r>
      <w:proofErr w:type="gramStart"/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迴</w:t>
      </w:r>
      <w:proofErr w:type="gramEnd"/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歸路徑係數「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c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」是否顯著，若該路徑係數顯著則確定存在可以</w:t>
      </w:r>
      <w:r w:rsidRPr="00414DD2">
        <w:rPr>
          <w:rFonts w:ascii="Times New Roman" w:eastAsia="新細明體" w:hAnsi="Times New Roman" w:cs="Times New Roman"/>
          <w:color w:val="FF0000"/>
          <w:sz w:val="24"/>
          <w:szCs w:val="24"/>
          <w:lang w:eastAsia="zh-TW"/>
        </w:rPr>
        <w:t>中介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的效應。</w:t>
      </w:r>
    </w:p>
    <w:p w:rsidR="00E869B2" w:rsidRPr="00414DD2" w:rsidRDefault="005540FD" w:rsidP="00E869B2">
      <w:pPr>
        <w:adjustRightInd w:val="0"/>
        <w:snapToGrid w:val="0"/>
        <w:spacing w:after="0" w:line="240" w:lineRule="auto"/>
        <w:jc w:val="both"/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</w:pPr>
      <w:r w:rsidRPr="00414DD2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 xml:space="preserve">2. </w:t>
      </w:r>
      <w:r w:rsidRPr="00414DD2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自變數（</w:t>
      </w:r>
      <w:r w:rsidRPr="00414DD2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IV</w:t>
      </w:r>
      <w:r w:rsidRPr="00414DD2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）對中介變數（</w:t>
      </w:r>
      <w:r w:rsidRPr="00414DD2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MV</w:t>
      </w:r>
      <w:r w:rsidRPr="00414DD2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）有顯著關係</w:t>
      </w:r>
    </w:p>
    <w:p w:rsidR="005540FD" w:rsidRPr="00414DD2" w:rsidRDefault="005540FD" w:rsidP="00E869B2">
      <w:pPr>
        <w:adjustRightInd w:val="0"/>
        <w:snapToGrid w:val="0"/>
        <w:spacing w:after="0" w:line="240" w:lineRule="auto"/>
        <w:ind w:firstLineChars="236" w:firstLine="566"/>
        <w:jc w:val="both"/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</w:pP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執行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X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變數對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M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變數的</w:t>
      </w:r>
      <w:proofErr w:type="gramStart"/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迴</w:t>
      </w:r>
      <w:proofErr w:type="gramEnd"/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歸路徑係數「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a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」是否顯著，若該路徑係數顯著則確定存在可以</w:t>
      </w:r>
      <w:r w:rsidRPr="00414DD2">
        <w:rPr>
          <w:rFonts w:ascii="Times New Roman" w:eastAsia="新細明體" w:hAnsi="Times New Roman" w:cs="Times New Roman"/>
          <w:color w:val="FF0000"/>
          <w:sz w:val="24"/>
          <w:szCs w:val="24"/>
          <w:lang w:eastAsia="zh-TW"/>
        </w:rPr>
        <w:t>中介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的效應。</w:t>
      </w:r>
    </w:p>
    <w:p w:rsidR="005540FD" w:rsidRPr="00414DD2" w:rsidRDefault="005540FD" w:rsidP="00E869B2">
      <w:pPr>
        <w:adjustRightInd w:val="0"/>
        <w:snapToGrid w:val="0"/>
        <w:spacing w:after="0" w:line="240" w:lineRule="auto"/>
        <w:jc w:val="both"/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</w:pPr>
      <w:r w:rsidRPr="00414DD2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 xml:space="preserve">3. </w:t>
      </w:r>
      <w:r w:rsidRPr="00414DD2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中介變數（</w:t>
      </w:r>
      <w:r w:rsidRPr="00414DD2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MV</w:t>
      </w:r>
      <w:r w:rsidRPr="00414DD2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）對依變數（</w:t>
      </w:r>
      <w:r w:rsidRPr="00414DD2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DV</w:t>
      </w:r>
      <w:r w:rsidRPr="00414DD2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）有顯著關係</w:t>
      </w:r>
    </w:p>
    <w:p w:rsidR="005540FD" w:rsidRPr="00414DD2" w:rsidRDefault="005540FD" w:rsidP="00E869B2">
      <w:pPr>
        <w:adjustRightInd w:val="0"/>
        <w:snapToGrid w:val="0"/>
        <w:spacing w:after="0" w:line="240" w:lineRule="auto"/>
        <w:ind w:firstLineChars="200" w:firstLine="480"/>
        <w:jc w:val="both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執行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M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變數對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Y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變數的</w:t>
      </w:r>
      <w:proofErr w:type="gramStart"/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迴</w:t>
      </w:r>
      <w:proofErr w:type="gramEnd"/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歸路徑係數「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b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」是否顯著，若該路徑係數顯著則確定存在可以</w:t>
      </w:r>
      <w:r w:rsidRPr="00414DD2">
        <w:rPr>
          <w:rFonts w:ascii="Times New Roman" w:eastAsia="新細明體" w:hAnsi="Times New Roman" w:cs="Times New Roman"/>
          <w:color w:val="FF0000"/>
          <w:sz w:val="24"/>
          <w:szCs w:val="24"/>
          <w:lang w:eastAsia="zh-TW"/>
        </w:rPr>
        <w:t>中介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的效應。但是，如果僅是呈現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M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對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Y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的影響是資訊不足的，因為它們都是由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X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引起的，因而在建立中介對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Y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的影響時必須控制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X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。此時，同時把自變數（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IV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）、依變數（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DV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）和中介變數（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MV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）放進方程式中，三者之間的關係都要呈現顯著。</w:t>
      </w:r>
    </w:p>
    <w:p w:rsidR="009C7625" w:rsidRPr="00414DD2" w:rsidRDefault="00C52C3A" w:rsidP="00E869B2">
      <w:pPr>
        <w:adjustRightInd w:val="0"/>
        <w:snapToGrid w:val="0"/>
        <w:spacing w:after="0" w:line="240" w:lineRule="auto"/>
        <w:jc w:val="both"/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</w:pPr>
      <w:r w:rsidRPr="00414DD2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 xml:space="preserve">4. </w:t>
      </w:r>
      <w:r w:rsidR="005540FD" w:rsidRPr="00414DD2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觀察條件</w:t>
      </w:r>
      <w:r w:rsidR="005540FD" w:rsidRPr="00414DD2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3</w:t>
      </w:r>
      <w:r w:rsidR="005540FD" w:rsidRPr="00414DD2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中，</w:t>
      </w:r>
      <w:r w:rsidR="005540FD" w:rsidRPr="00414DD2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X</w:t>
      </w:r>
      <w:r w:rsidR="005540FD" w:rsidRPr="00414DD2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變數對</w:t>
      </w:r>
      <w:r w:rsidR="005540FD" w:rsidRPr="00414DD2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Y</w:t>
      </w:r>
      <w:r w:rsidR="005540FD" w:rsidRPr="00414DD2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變數的路徑係數「</w:t>
      </w:r>
      <w:r w:rsidR="005540FD" w:rsidRPr="00414DD2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c</w:t>
      </w:r>
      <w:proofErr w:type="gramStart"/>
      <w:r w:rsidR="005540FD" w:rsidRPr="00414DD2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’</w:t>
      </w:r>
      <w:proofErr w:type="gramEnd"/>
      <w:r w:rsidR="005540FD" w:rsidRPr="00414DD2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」數值與顯著性</w:t>
      </w:r>
    </w:p>
    <w:p w:rsidR="005540FD" w:rsidRPr="00414DD2" w:rsidRDefault="005540FD" w:rsidP="00E869B2">
      <w:pPr>
        <w:adjustRightInd w:val="0"/>
        <w:snapToGrid w:val="0"/>
        <w:spacing w:after="0" w:line="240" w:lineRule="auto"/>
        <w:ind w:firstLineChars="200" w:firstLine="480"/>
        <w:jc w:val="both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最後，為了確定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M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可以</w:t>
      </w:r>
      <w:r w:rsidR="005D364D" w:rsidRPr="00414DD2">
        <w:rPr>
          <w:rFonts w:ascii="Times New Roman" w:eastAsia="新細明體" w:hAnsi="Times New Roman" w:cs="Times New Roman"/>
          <w:color w:val="FF0000"/>
          <w:sz w:val="24"/>
          <w:szCs w:val="24"/>
          <w:lang w:eastAsia="zh-TW"/>
        </w:rPr>
        <w:t>中介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X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與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Y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的關係，控制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M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之後的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X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對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Y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路徑「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c’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」的係數</w:t>
      </w:r>
      <w:r w:rsidRPr="00414DD2">
        <w:rPr>
          <w:rFonts w:ascii="Times New Roman" w:eastAsia="新細明體" w:hAnsi="Times New Roman" w:cs="Times New Roman"/>
          <w:color w:val="FF0000"/>
          <w:sz w:val="24"/>
          <w:szCs w:val="24"/>
          <w:lang w:eastAsia="zh-TW"/>
        </w:rPr>
        <w:t>不再顯著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則是「完全中介」，路徑「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c’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」</w:t>
      </w:r>
      <w:r w:rsidRPr="00414DD2">
        <w:rPr>
          <w:rFonts w:ascii="Times New Roman" w:eastAsia="新細明體" w:hAnsi="Times New Roman" w:cs="Times New Roman"/>
          <w:color w:val="FF0000"/>
          <w:sz w:val="24"/>
          <w:szCs w:val="24"/>
          <w:lang w:eastAsia="zh-TW"/>
        </w:rPr>
        <w:t>仍顯著但效果變小</w:t>
      </w:r>
      <w:r w:rsidRPr="00414DD2">
        <w:rPr>
          <w:rFonts w:ascii="Times New Roman" w:eastAsia="新細明體" w:hAnsi="Times New Roman" w:cs="Times New Roman"/>
          <w:sz w:val="24"/>
          <w:szCs w:val="24"/>
          <w:lang w:eastAsia="zh-TW"/>
        </w:rPr>
        <w:t>則是「部分中介」。</w:t>
      </w:r>
    </w:p>
    <w:p w:rsidR="00EE03D3" w:rsidRPr="00414DD2" w:rsidRDefault="00EE03D3" w:rsidP="00E869B2">
      <w:pPr>
        <w:adjustRightInd w:val="0"/>
        <w:snapToGrid w:val="0"/>
        <w:spacing w:after="0" w:line="240" w:lineRule="auto"/>
        <w:jc w:val="both"/>
        <w:rPr>
          <w:rFonts w:ascii="Times New Roman" w:eastAsia="新細明體" w:hAnsi="Times New Roman" w:cs="Times New Roman"/>
          <w:sz w:val="24"/>
          <w:szCs w:val="24"/>
          <w:lang w:eastAsia="zh-TW"/>
        </w:rPr>
      </w:pPr>
    </w:p>
    <w:p w:rsidR="00E869B2" w:rsidRPr="00414DD2" w:rsidRDefault="00E869B2" w:rsidP="00E869B2">
      <w:pPr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</w:pPr>
      <w:r w:rsidRPr="00414DD2">
        <w:rPr>
          <w:rFonts w:ascii="Times New Roman" w:eastAsia="新細明體" w:hAnsi="Times New Roman" w:cs="Times New Roman"/>
          <w:b/>
          <w:color w:val="0000FF"/>
          <w:sz w:val="24"/>
          <w:szCs w:val="24"/>
          <w:lang w:eastAsia="zh-TW"/>
        </w:rPr>
        <w:t>[</w:t>
      </w:r>
      <w:r w:rsidRPr="00414DD2">
        <w:rPr>
          <w:rFonts w:ascii="Times New Roman" w:eastAsia="新細明體" w:hAnsi="Times New Roman" w:cs="Times New Roman"/>
          <w:b/>
          <w:color w:val="0000FF"/>
          <w:sz w:val="24"/>
          <w:szCs w:val="24"/>
          <w:lang w:eastAsia="zh-TW"/>
        </w:rPr>
        <w:t>第</w:t>
      </w:r>
      <w:r w:rsidRPr="00414DD2">
        <w:rPr>
          <w:rFonts w:ascii="Times New Roman" w:eastAsia="新細明體" w:hAnsi="Times New Roman" w:cs="Times New Roman"/>
          <w:b/>
          <w:color w:val="0000FF"/>
          <w:sz w:val="24"/>
          <w:szCs w:val="24"/>
          <w:lang w:eastAsia="zh-TW"/>
        </w:rPr>
        <w:t>207</w:t>
      </w:r>
      <w:r w:rsidRPr="00414DD2">
        <w:rPr>
          <w:rFonts w:ascii="Times New Roman" w:eastAsia="新細明體" w:hAnsi="Times New Roman" w:cs="Times New Roman"/>
          <w:b/>
          <w:color w:val="0000FF"/>
          <w:sz w:val="24"/>
          <w:szCs w:val="24"/>
          <w:lang w:eastAsia="zh-TW"/>
        </w:rPr>
        <w:t>頁</w:t>
      </w:r>
      <w:r w:rsidRPr="00414DD2">
        <w:rPr>
          <w:rFonts w:ascii="Times New Roman" w:eastAsia="新細明體" w:hAnsi="Times New Roman" w:cs="Times New Roman"/>
          <w:b/>
          <w:color w:val="0000FF"/>
          <w:sz w:val="24"/>
          <w:szCs w:val="24"/>
          <w:lang w:eastAsia="zh-TW"/>
        </w:rPr>
        <w:t>]</w:t>
      </w:r>
      <w:r w:rsidR="00414DD2" w:rsidRPr="00414DD2">
        <w:rPr>
          <w:rFonts w:ascii="Times New Roman" w:eastAsia="新細明體" w:hAnsi="Times New Roman" w:cs="Times New Roman"/>
          <w:b/>
          <w:color w:val="FF0000"/>
          <w:sz w:val="24"/>
          <w:szCs w:val="24"/>
          <w:lang w:eastAsia="zh-TW"/>
        </w:rPr>
        <w:t xml:space="preserve"> </w:t>
      </w:r>
      <w:r w:rsidR="00414DD2" w:rsidRPr="00414DD2">
        <w:rPr>
          <w:rFonts w:ascii="Times New Roman" w:eastAsia="新細明體" w:hAnsi="Times New Roman" w:cs="Times New Roman"/>
          <w:b/>
          <w:color w:val="FF0000"/>
          <w:sz w:val="24"/>
          <w:szCs w:val="24"/>
          <w:lang w:eastAsia="zh-TW"/>
        </w:rPr>
        <w:t>（</w:t>
      </w:r>
      <w:r w:rsidR="00414DD2" w:rsidRPr="00414DD2">
        <w:rPr>
          <w:rFonts w:ascii="Times New Roman" w:eastAsia="新細明體" w:hAnsi="Times New Roman" w:cs="Times New Roman"/>
          <w:b/>
          <w:color w:val="FF0000"/>
          <w:sz w:val="24"/>
          <w:szCs w:val="24"/>
          <w:lang w:eastAsia="zh-TW"/>
        </w:rPr>
        <w:t>M</w:t>
      </w:r>
      <w:r w:rsidR="00414DD2" w:rsidRPr="00414DD2">
        <w:rPr>
          <w:rFonts w:ascii="Times New Roman" w:eastAsia="新細明體" w:hAnsi="Times New Roman" w:cs="Times New Roman"/>
          <w:b/>
          <w:color w:val="FF0000"/>
          <w:sz w:val="24"/>
          <w:szCs w:val="24"/>
          <w:lang w:eastAsia="zh-TW"/>
        </w:rPr>
        <w:t>變數的箭號要指向</w:t>
      </w:r>
      <w:r w:rsidR="00414DD2" w:rsidRPr="00414DD2">
        <w:rPr>
          <w:rFonts w:ascii="Times New Roman" w:eastAsia="新細明體" w:hAnsi="Times New Roman" w:cs="Times New Roman"/>
          <w:b/>
          <w:color w:val="FF0000"/>
          <w:sz w:val="24"/>
          <w:szCs w:val="24"/>
          <w:lang w:eastAsia="zh-TW"/>
        </w:rPr>
        <w:t>X</w:t>
      </w:r>
      <w:r w:rsidR="00414DD2" w:rsidRPr="00414DD2">
        <w:rPr>
          <w:rFonts w:ascii="Times New Roman" w:eastAsia="新細明體" w:hAnsi="Times New Roman" w:cs="Times New Roman"/>
          <w:b/>
          <w:color w:val="FF0000"/>
          <w:sz w:val="24"/>
          <w:szCs w:val="24"/>
          <w:lang w:eastAsia="zh-TW"/>
        </w:rPr>
        <w:t>變數對</w:t>
      </w:r>
      <w:r w:rsidR="00414DD2" w:rsidRPr="00414DD2">
        <w:rPr>
          <w:rFonts w:ascii="Times New Roman" w:eastAsia="新細明體" w:hAnsi="Times New Roman" w:cs="Times New Roman"/>
          <w:b/>
          <w:color w:val="FF0000"/>
          <w:sz w:val="24"/>
          <w:szCs w:val="24"/>
          <w:lang w:eastAsia="zh-TW"/>
        </w:rPr>
        <w:t>Y</w:t>
      </w:r>
      <w:r w:rsidR="00414DD2" w:rsidRPr="00414DD2">
        <w:rPr>
          <w:rFonts w:ascii="Times New Roman" w:eastAsia="新細明體" w:hAnsi="Times New Roman" w:cs="Times New Roman"/>
          <w:b/>
          <w:color w:val="FF0000"/>
          <w:sz w:val="24"/>
          <w:szCs w:val="24"/>
          <w:lang w:eastAsia="zh-TW"/>
        </w:rPr>
        <w:t>的箭號線條）</w:t>
      </w:r>
    </w:p>
    <w:p w:rsidR="00E869B2" w:rsidRPr="00414DD2" w:rsidRDefault="00E869B2" w:rsidP="009C7625">
      <w:pPr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sz w:val="24"/>
          <w:szCs w:val="24"/>
          <w:lang w:eastAsia="zh-TW"/>
        </w:rPr>
      </w:pPr>
    </w:p>
    <w:p w:rsidR="009C7625" w:rsidRPr="00414DD2" w:rsidRDefault="009C7625" w:rsidP="009C7625">
      <w:pPr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b/>
          <w:bCs/>
          <w:color w:val="FF0000"/>
        </w:rPr>
      </w:pPr>
      <w:r w:rsidRPr="00414DD2">
        <w:rPr>
          <w:rFonts w:ascii="Times New Roman" w:eastAsia="新細明體" w:hAnsi="Times New Roman" w:cs="Times New Roman"/>
          <w:b/>
          <w:bCs/>
          <w:noProof/>
          <w:color w:val="FF0000"/>
        </w:rPr>
        <w:drawing>
          <wp:inline distT="0" distB="0" distL="0" distR="0" wp14:anchorId="29DAD07A" wp14:editId="4A7C9982">
            <wp:extent cx="4680000" cy="1375396"/>
            <wp:effectExtent l="0" t="0" r="6350" b="0"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1375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7625" w:rsidRPr="00414DD2" w:rsidRDefault="009C7625" w:rsidP="009C7625">
      <w:pPr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b/>
          <w:bCs/>
        </w:rPr>
      </w:pPr>
    </w:p>
    <w:p w:rsidR="00EE03D3" w:rsidRPr="00414DD2" w:rsidRDefault="009C7625" w:rsidP="009C7625">
      <w:pPr>
        <w:adjustRightInd w:val="0"/>
        <w:snapToGrid w:val="0"/>
        <w:spacing w:after="0" w:line="240" w:lineRule="auto"/>
        <w:rPr>
          <w:rFonts w:ascii="Times New Roman" w:eastAsia="新細明體" w:hAnsi="Times New Roman" w:cs="Times New Roman"/>
          <w:lang w:eastAsia="zh-TW"/>
        </w:rPr>
      </w:pPr>
      <w:r w:rsidRPr="00414DD2">
        <w:rPr>
          <w:rFonts w:ascii="Times New Roman" w:eastAsia="新細明體" w:hAnsi="Times New Roman" w:cs="Times New Roman"/>
          <w:b/>
          <w:bCs/>
        </w:rPr>
        <w:t>圖</w:t>
      </w:r>
      <w:r w:rsidRPr="00414DD2">
        <w:rPr>
          <w:rFonts w:ascii="Times New Roman" w:eastAsia="新細明體" w:hAnsi="Times New Roman" w:cs="Times New Roman"/>
          <w:b/>
          <w:bCs/>
        </w:rPr>
        <w:t>8-</w:t>
      </w:r>
      <w:proofErr w:type="gramStart"/>
      <w:r w:rsidRPr="00414DD2">
        <w:rPr>
          <w:rFonts w:ascii="Times New Roman" w:eastAsia="新細明體" w:hAnsi="Times New Roman" w:cs="Times New Roman"/>
          <w:b/>
          <w:bCs/>
        </w:rPr>
        <w:t xml:space="preserve">2  </w:t>
      </w:r>
      <w:proofErr w:type="spellStart"/>
      <w:r w:rsidRPr="00414DD2">
        <w:rPr>
          <w:rFonts w:ascii="Times New Roman" w:eastAsia="新細明體" w:hAnsi="Times New Roman" w:cs="Times New Roman"/>
          <w:b/>
          <w:bCs/>
        </w:rPr>
        <w:t>調節效應架構圖</w:t>
      </w:r>
      <w:proofErr w:type="spellEnd"/>
      <w:proofErr w:type="gramEnd"/>
    </w:p>
    <w:sectPr w:rsidR="00EE03D3" w:rsidRPr="00414DD2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0FD" w:rsidRDefault="005540FD" w:rsidP="005540FD">
      <w:pPr>
        <w:spacing w:after="0" w:line="240" w:lineRule="auto"/>
      </w:pPr>
      <w:r>
        <w:separator/>
      </w:r>
    </w:p>
  </w:endnote>
  <w:endnote w:type="continuationSeparator" w:id="0">
    <w:p w:rsidR="005540FD" w:rsidRDefault="005540FD" w:rsidP="0055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9132765"/>
      <w:docPartObj>
        <w:docPartGallery w:val="Page Numbers (Bottom of Page)"/>
        <w:docPartUnique/>
      </w:docPartObj>
    </w:sdtPr>
    <w:sdtEndPr/>
    <w:sdtContent>
      <w:p w:rsidR="009C7625" w:rsidRDefault="009C7625" w:rsidP="009C76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0FD" w:rsidRDefault="005540FD" w:rsidP="005540FD">
      <w:pPr>
        <w:spacing w:after="0" w:line="240" w:lineRule="auto"/>
      </w:pPr>
      <w:r>
        <w:separator/>
      </w:r>
    </w:p>
  </w:footnote>
  <w:footnote w:type="continuationSeparator" w:id="0">
    <w:p w:rsidR="005540FD" w:rsidRDefault="005540FD" w:rsidP="00554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F19EB"/>
    <w:rsid w:val="0029639D"/>
    <w:rsid w:val="00326F90"/>
    <w:rsid w:val="00414DD2"/>
    <w:rsid w:val="00487BDF"/>
    <w:rsid w:val="005540FD"/>
    <w:rsid w:val="005D364D"/>
    <w:rsid w:val="006217CF"/>
    <w:rsid w:val="00637717"/>
    <w:rsid w:val="009837B7"/>
    <w:rsid w:val="009C7625"/>
    <w:rsid w:val="009F7322"/>
    <w:rsid w:val="00A1554B"/>
    <w:rsid w:val="00AA1D8D"/>
    <w:rsid w:val="00B45F35"/>
    <w:rsid w:val="00B47730"/>
    <w:rsid w:val="00C52C3A"/>
    <w:rsid w:val="00CB0664"/>
    <w:rsid w:val="00DF14C4"/>
    <w:rsid w:val="00E869B2"/>
    <w:rsid w:val="00EC59C7"/>
    <w:rsid w:val="00EE03D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efaultImageDpi w14:val="300"/>
  <w15:docId w15:val="{52CEA6CF-C9B1-457F-A87F-AA2C8AE2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869B2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D9CD3F-25B0-4BF7-8FC4-3C9E6CCE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15</cp:revision>
  <dcterms:created xsi:type="dcterms:W3CDTF">2013-12-23T23:15:00Z</dcterms:created>
  <dcterms:modified xsi:type="dcterms:W3CDTF">2025-05-05T01:52:00Z</dcterms:modified>
  <cp:category/>
</cp:coreProperties>
</file>